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Assessing The Non-Core Curriculum</w:t>
      </w:r>
      <w:r w:rsidR="00820BB8">
        <w:rPr>
          <w:rFonts w:ascii="SassoonInfant" w:hAnsi="SassoonInfant"/>
          <w:b/>
          <w:sz w:val="40"/>
          <w:szCs w:val="24"/>
          <w:u w:val="single"/>
        </w:rPr>
        <w:t xml:space="preserve"> Overview</w:t>
      </w:r>
    </w:p>
    <w:p w:rsidR="008377AA" w:rsidRP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161425" w:rsidRPr="008377AA" w:rsidTr="000251DE">
        <w:tc>
          <w:tcPr>
            <w:tcW w:w="1838" w:type="dxa"/>
          </w:tcPr>
          <w:p w:rsidR="00161425" w:rsidRPr="008377AA" w:rsidRDefault="00161425" w:rsidP="008377AA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8377AA">
              <w:rPr>
                <w:rFonts w:ascii="SassoonInfant" w:hAnsi="SassoonInfant"/>
                <w:b/>
                <w:sz w:val="28"/>
              </w:rPr>
              <w:t>Subject</w:t>
            </w:r>
          </w:p>
        </w:tc>
        <w:tc>
          <w:tcPr>
            <w:tcW w:w="7513" w:type="dxa"/>
          </w:tcPr>
          <w:p w:rsidR="00161425" w:rsidRDefault="00161425" w:rsidP="008377AA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Assessment Sources</w:t>
            </w:r>
          </w:p>
          <w:p w:rsidR="00161425" w:rsidRPr="00161425" w:rsidRDefault="00161425" w:rsidP="008377AA">
            <w:pPr>
              <w:jc w:val="center"/>
              <w:rPr>
                <w:rFonts w:ascii="SassoonInfant" w:hAnsi="SassoonInfant"/>
                <w:b/>
                <w:sz w:val="26"/>
                <w:szCs w:val="26"/>
              </w:rPr>
            </w:pPr>
            <w:r w:rsidRPr="00161425">
              <w:rPr>
                <w:rFonts w:ascii="SassoonInfant" w:hAnsi="SassoonInfant"/>
                <w:b/>
                <w:sz w:val="26"/>
                <w:szCs w:val="26"/>
              </w:rPr>
              <w:t xml:space="preserve">Identifying pupils </w:t>
            </w:r>
            <w:r w:rsidRPr="000C0323">
              <w:rPr>
                <w:rFonts w:ascii="SassoonInfant" w:hAnsi="SassoonInfant"/>
                <w:b/>
                <w:color w:val="FF99FF"/>
                <w:sz w:val="26"/>
                <w:szCs w:val="26"/>
              </w:rPr>
              <w:t>working towards ARE</w:t>
            </w:r>
            <w:r w:rsidRPr="00161425">
              <w:rPr>
                <w:rFonts w:ascii="SassoonInfant" w:hAnsi="SassoonInfant"/>
                <w:b/>
                <w:sz w:val="26"/>
                <w:szCs w:val="26"/>
              </w:rPr>
              <w:t xml:space="preserve">, </w:t>
            </w:r>
            <w:r w:rsidRPr="000C0323">
              <w:rPr>
                <w:rFonts w:ascii="SassoonInfant" w:hAnsi="SassoonInfant"/>
                <w:b/>
                <w:color w:val="FFFF00"/>
                <w:sz w:val="26"/>
                <w:szCs w:val="26"/>
              </w:rPr>
              <w:t xml:space="preserve">working at ARE </w:t>
            </w:r>
            <w:r w:rsidRPr="00161425">
              <w:rPr>
                <w:rFonts w:ascii="SassoonInfant" w:hAnsi="SassoonInfant"/>
                <w:b/>
                <w:sz w:val="26"/>
                <w:szCs w:val="26"/>
              </w:rPr>
              <w:t xml:space="preserve">and </w:t>
            </w:r>
            <w:r w:rsidRPr="000C0323">
              <w:rPr>
                <w:rFonts w:ascii="SassoonInfant" w:hAnsi="SassoonInfant"/>
                <w:b/>
                <w:color w:val="00FF00"/>
                <w:sz w:val="26"/>
                <w:szCs w:val="26"/>
              </w:rPr>
              <w:t>working at Greater Depth</w:t>
            </w:r>
          </w:p>
        </w:tc>
      </w:tr>
      <w:tr w:rsidR="00161425" w:rsidRPr="008377AA" w:rsidTr="00D159E6">
        <w:tc>
          <w:tcPr>
            <w:tcW w:w="1838" w:type="dxa"/>
          </w:tcPr>
          <w:p w:rsidR="00161425" w:rsidRPr="008377AA" w:rsidRDefault="00161425" w:rsidP="008377AA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Science</w:t>
            </w:r>
          </w:p>
        </w:tc>
        <w:tc>
          <w:tcPr>
            <w:tcW w:w="7513" w:type="dxa"/>
            <w:shd w:val="clear" w:color="auto" w:fill="auto"/>
          </w:tcPr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Rising Stars beginning of unit and end of unit assessments</w:t>
            </w:r>
            <w:r w:rsidR="00111322">
              <w:rPr>
                <w:rFonts w:ascii="SassoonInfant" w:hAnsi="SassoonInfant"/>
                <w:sz w:val="24"/>
              </w:rPr>
              <w:t xml:space="preserve"> which are marked and glued into children’s Science books following unit title page and relevant knowledge organiser.</w:t>
            </w:r>
          </w:p>
          <w:p w:rsidR="00BC5332" w:rsidRDefault="00BC5332" w:rsidP="00161425">
            <w:pPr>
              <w:rPr>
                <w:rFonts w:ascii="SassoonInfant" w:hAnsi="SassoonInfant"/>
                <w:sz w:val="24"/>
              </w:rPr>
            </w:pPr>
          </w:p>
          <w:p w:rsidR="00BC5332" w:rsidRDefault="00BC5332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Results</w:t>
            </w:r>
            <w:r w:rsidR="00111322">
              <w:rPr>
                <w:rFonts w:ascii="SassoonInfant" w:hAnsi="SassoonInfant"/>
                <w:sz w:val="24"/>
              </w:rPr>
              <w:t xml:space="preserve"> for diagnostic and end of unit assessments are</w:t>
            </w:r>
            <w:r>
              <w:rPr>
                <w:rFonts w:ascii="SassoonInfant" w:hAnsi="SassoonInfant"/>
                <w:sz w:val="24"/>
              </w:rPr>
              <w:t xml:space="preserve"> recorded using Rising Stars</w:t>
            </w:r>
            <w:r w:rsidR="00E3076F">
              <w:rPr>
                <w:rFonts w:ascii="SassoonInfant" w:hAnsi="SassoonInfant"/>
                <w:sz w:val="24"/>
              </w:rPr>
              <w:t xml:space="preserve"> </w:t>
            </w:r>
            <w:r>
              <w:rPr>
                <w:rFonts w:ascii="SassoonInfant" w:hAnsi="SassoonInfant"/>
                <w:sz w:val="24"/>
              </w:rPr>
              <w:t xml:space="preserve">assessment </w:t>
            </w:r>
            <w:r w:rsidR="00E3076F">
              <w:rPr>
                <w:rFonts w:ascii="SassoonInfant" w:hAnsi="SassoonInfant"/>
                <w:sz w:val="24"/>
              </w:rPr>
              <w:t xml:space="preserve">spreadsheet </w:t>
            </w:r>
            <w:r>
              <w:rPr>
                <w:rFonts w:ascii="SassoonInfant" w:hAnsi="SassoonInfant"/>
                <w:sz w:val="24"/>
              </w:rPr>
              <w:t>for Science</w:t>
            </w:r>
            <w:r w:rsidR="00111322">
              <w:rPr>
                <w:rFonts w:ascii="SassoonInfant" w:hAnsi="SassoonInfant"/>
                <w:sz w:val="24"/>
              </w:rPr>
              <w:t>.</w:t>
            </w:r>
          </w:p>
          <w:p w:rsidR="0030233D" w:rsidRDefault="0030233D" w:rsidP="00161425">
            <w:pPr>
              <w:rPr>
                <w:rFonts w:ascii="SassoonInfant" w:hAnsi="SassoonInfant"/>
                <w:sz w:val="24"/>
              </w:rPr>
            </w:pPr>
          </w:p>
          <w:p w:rsidR="0030233D" w:rsidRPr="00D159E6" w:rsidRDefault="00E3076F" w:rsidP="0030233D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Rising Stars spreadsheet tracks</w:t>
            </w:r>
            <w:r w:rsidR="0030233D" w:rsidRPr="00D159E6">
              <w:rPr>
                <w:rFonts w:ascii="SassoonInfant" w:hAnsi="SassoonInfant"/>
                <w:sz w:val="24"/>
              </w:rPr>
              <w:t xml:space="preserve"> achievement against key objectives, identifying pupils Workin</w:t>
            </w:r>
            <w:r>
              <w:rPr>
                <w:rFonts w:ascii="SassoonInfant" w:hAnsi="SassoonInfant"/>
                <w:sz w:val="24"/>
              </w:rPr>
              <w:t>g Towards ARE</w:t>
            </w:r>
            <w:r w:rsidR="0030233D" w:rsidRPr="00D159E6">
              <w:rPr>
                <w:rFonts w:ascii="SassoonInfant" w:hAnsi="SassoonInfant"/>
                <w:sz w:val="24"/>
              </w:rPr>
              <w:t>, Wo</w:t>
            </w:r>
            <w:r>
              <w:rPr>
                <w:rFonts w:ascii="SassoonInfant" w:hAnsi="SassoonInfant"/>
                <w:sz w:val="24"/>
              </w:rPr>
              <w:t>rking at ARE</w:t>
            </w:r>
            <w:r w:rsidR="0030233D" w:rsidRPr="00D159E6">
              <w:rPr>
                <w:rFonts w:ascii="SassoonInfant" w:hAnsi="SassoonInfant"/>
                <w:sz w:val="24"/>
              </w:rPr>
              <w:t xml:space="preserve"> and Working at Greater Depth </w:t>
            </w:r>
            <w:r>
              <w:rPr>
                <w:rFonts w:ascii="SassoonInfant" w:hAnsi="SassoonInfant"/>
                <w:sz w:val="24"/>
              </w:rPr>
              <w:t>based upon their end of unit assessment. Assessment spreadsheet highlights progress between diagnostic assessment and end of unit assessment.</w:t>
            </w:r>
          </w:p>
          <w:p w:rsidR="00977B58" w:rsidRPr="008377AA" w:rsidRDefault="00977B58" w:rsidP="00161425">
            <w:pPr>
              <w:rPr>
                <w:rFonts w:ascii="SassoonInfant" w:hAnsi="SassoonInfant"/>
                <w:sz w:val="24"/>
              </w:rPr>
            </w:pPr>
          </w:p>
        </w:tc>
      </w:tr>
      <w:tr w:rsidR="00161425" w:rsidRPr="008377AA" w:rsidTr="00735996">
        <w:tc>
          <w:tcPr>
            <w:tcW w:w="1838" w:type="dxa"/>
          </w:tcPr>
          <w:p w:rsidR="00161425" w:rsidRPr="008377AA" w:rsidRDefault="00161425" w:rsidP="008377AA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8377AA">
              <w:rPr>
                <w:rFonts w:ascii="SassoonInfant" w:hAnsi="SassoonInfant"/>
                <w:b/>
                <w:sz w:val="28"/>
              </w:rPr>
              <w:t>Humanities</w:t>
            </w:r>
            <w:r>
              <w:rPr>
                <w:rFonts w:ascii="SassoonInfant" w:hAnsi="SassoonInfant"/>
                <w:b/>
                <w:sz w:val="28"/>
              </w:rPr>
              <w:t xml:space="preserve"> (History &amp; Geography)</w:t>
            </w:r>
          </w:p>
        </w:tc>
        <w:tc>
          <w:tcPr>
            <w:tcW w:w="7513" w:type="dxa"/>
          </w:tcPr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  <w:r w:rsidRPr="00CC68B5">
              <w:rPr>
                <w:rFonts w:ascii="SassoonInfant" w:hAnsi="SassoonInfant"/>
                <w:sz w:val="24"/>
              </w:rPr>
              <w:t xml:space="preserve">End </w:t>
            </w:r>
            <w:r w:rsidR="006C76DA" w:rsidRPr="00CC68B5">
              <w:rPr>
                <w:rFonts w:ascii="SassoonInfant" w:hAnsi="SassoonInfant"/>
                <w:sz w:val="24"/>
              </w:rPr>
              <w:t>of unit knowledge quiz to be completed which focuses on key sticky knowledge taught over the course</w:t>
            </w:r>
            <w:r w:rsidR="006C76DA">
              <w:rPr>
                <w:rFonts w:ascii="SassoonInfant" w:hAnsi="SassoonInfant"/>
                <w:sz w:val="24"/>
              </w:rPr>
              <w:t xml:space="preserve"> of the unit of work. This knowledge quiz assesses pupils’ retention of key knowledge</w:t>
            </w:r>
          </w:p>
          <w:p w:rsidR="006C76DA" w:rsidRDefault="006C76DA" w:rsidP="00161425">
            <w:pPr>
              <w:rPr>
                <w:rFonts w:ascii="SassoonInfant" w:hAnsi="SassoonInfant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3544"/>
            </w:tblGrid>
            <w:tr w:rsidR="006C76DA" w:rsidTr="00DC71B3">
              <w:trPr>
                <w:trHeight w:val="122"/>
              </w:trPr>
              <w:tc>
                <w:tcPr>
                  <w:tcW w:w="2014" w:type="dxa"/>
                </w:tcPr>
                <w:p w:rsidR="006C76DA" w:rsidRPr="00306EC9" w:rsidRDefault="006C76DA" w:rsidP="006C76DA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0%-25%</w:t>
                  </w:r>
                </w:p>
              </w:tc>
              <w:tc>
                <w:tcPr>
                  <w:tcW w:w="3544" w:type="dxa"/>
                  <w:shd w:val="clear" w:color="auto" w:fill="FFCCFF"/>
                </w:tcPr>
                <w:p w:rsidR="006C76DA" w:rsidRDefault="006C76DA" w:rsidP="006C76DA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Working Towards ARE</w:t>
                  </w:r>
                </w:p>
              </w:tc>
            </w:tr>
            <w:tr w:rsidR="006C76DA" w:rsidTr="00DC71B3">
              <w:trPr>
                <w:trHeight w:val="116"/>
              </w:trPr>
              <w:tc>
                <w:tcPr>
                  <w:tcW w:w="2014" w:type="dxa"/>
                </w:tcPr>
                <w:p w:rsidR="006C76DA" w:rsidRPr="00306EC9" w:rsidRDefault="006C76DA" w:rsidP="006C76DA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26%-45%</w:t>
                  </w:r>
                </w:p>
              </w:tc>
              <w:tc>
                <w:tcPr>
                  <w:tcW w:w="3544" w:type="dxa"/>
                  <w:shd w:val="clear" w:color="auto" w:fill="FFFF99"/>
                </w:tcPr>
                <w:p w:rsidR="006C76DA" w:rsidRDefault="006C76DA" w:rsidP="006C76DA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Emerging ARE</w:t>
                  </w:r>
                </w:p>
              </w:tc>
            </w:tr>
            <w:tr w:rsidR="006C76DA" w:rsidTr="00DC71B3">
              <w:trPr>
                <w:trHeight w:val="122"/>
              </w:trPr>
              <w:tc>
                <w:tcPr>
                  <w:tcW w:w="2014" w:type="dxa"/>
                </w:tcPr>
                <w:p w:rsidR="006C76DA" w:rsidRPr="00306EC9" w:rsidRDefault="006C76DA" w:rsidP="006C76DA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46%-65%</w:t>
                  </w:r>
                </w:p>
              </w:tc>
              <w:tc>
                <w:tcPr>
                  <w:tcW w:w="3544" w:type="dxa"/>
                  <w:shd w:val="clear" w:color="auto" w:fill="FFFF00"/>
                </w:tcPr>
                <w:p w:rsidR="006C76DA" w:rsidRDefault="006C76DA" w:rsidP="006C76DA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Working at ARE</w:t>
                  </w:r>
                </w:p>
              </w:tc>
            </w:tr>
            <w:tr w:rsidR="006C76DA" w:rsidTr="00DC71B3">
              <w:trPr>
                <w:trHeight w:val="116"/>
              </w:trPr>
              <w:tc>
                <w:tcPr>
                  <w:tcW w:w="2014" w:type="dxa"/>
                </w:tcPr>
                <w:p w:rsidR="006C76DA" w:rsidRPr="00306EC9" w:rsidRDefault="006C76DA" w:rsidP="006C76DA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66%-85%</w:t>
                  </w:r>
                </w:p>
              </w:tc>
              <w:tc>
                <w:tcPr>
                  <w:tcW w:w="3544" w:type="dxa"/>
                  <w:shd w:val="clear" w:color="auto" w:fill="66FF99"/>
                </w:tcPr>
                <w:p w:rsidR="006C76DA" w:rsidRDefault="006C76DA" w:rsidP="006C76DA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Working Towards Greater Depth</w:t>
                  </w:r>
                </w:p>
              </w:tc>
            </w:tr>
            <w:tr w:rsidR="006C76DA" w:rsidTr="00DC71B3">
              <w:trPr>
                <w:trHeight w:val="122"/>
              </w:trPr>
              <w:tc>
                <w:tcPr>
                  <w:tcW w:w="2014" w:type="dxa"/>
                </w:tcPr>
                <w:p w:rsidR="006C76DA" w:rsidRPr="00306EC9" w:rsidRDefault="006C76DA" w:rsidP="006C76DA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86%-100%</w:t>
                  </w:r>
                </w:p>
              </w:tc>
              <w:tc>
                <w:tcPr>
                  <w:tcW w:w="3544" w:type="dxa"/>
                  <w:shd w:val="clear" w:color="auto" w:fill="00FF00"/>
                </w:tcPr>
                <w:p w:rsidR="006C76DA" w:rsidRDefault="006C76DA" w:rsidP="006C76DA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Working at Greater Depth</w:t>
                  </w:r>
                </w:p>
              </w:tc>
            </w:tr>
          </w:tbl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</w:p>
          <w:p w:rsidR="00161425" w:rsidRPr="00530165" w:rsidRDefault="00161425" w:rsidP="00161425">
            <w:pPr>
              <w:rPr>
                <w:rFonts w:ascii="SassoonInfant" w:hAnsi="SassoonInfant"/>
                <w:sz w:val="24"/>
              </w:rPr>
            </w:pPr>
            <w:r w:rsidRPr="00530165">
              <w:rPr>
                <w:rFonts w:ascii="SassoonInfant" w:hAnsi="SassoonInfant"/>
                <w:sz w:val="24"/>
              </w:rPr>
              <w:t>A written response to a ‘big question’ at the end of a unit of work – opportunity to apply knowledge and skills taught and developed over the unit of work</w:t>
            </w:r>
          </w:p>
          <w:p w:rsidR="00BC5332" w:rsidRPr="00530165" w:rsidRDefault="00BC5332" w:rsidP="00161425">
            <w:pPr>
              <w:rPr>
                <w:rFonts w:ascii="SassoonInfant" w:hAnsi="SassoonInfant"/>
                <w:sz w:val="24"/>
              </w:rPr>
            </w:pPr>
          </w:p>
          <w:p w:rsidR="00BC5332" w:rsidRDefault="00BC5332" w:rsidP="00161425">
            <w:pPr>
              <w:rPr>
                <w:rFonts w:ascii="SassoonInfant" w:hAnsi="SassoonInfant"/>
                <w:sz w:val="24"/>
              </w:rPr>
            </w:pPr>
            <w:r w:rsidRPr="00530165">
              <w:rPr>
                <w:rFonts w:ascii="SassoonInfant" w:hAnsi="SassoonInfant"/>
                <w:sz w:val="24"/>
              </w:rPr>
              <w:t>Assessment grid to be completed (working towards, ARE and working at GD columns)</w:t>
            </w:r>
          </w:p>
          <w:p w:rsidR="00977B58" w:rsidRPr="008377AA" w:rsidRDefault="00977B58" w:rsidP="00161425">
            <w:pPr>
              <w:rPr>
                <w:rFonts w:ascii="SassoonInfant" w:hAnsi="SassoonInfant"/>
                <w:sz w:val="24"/>
              </w:rPr>
            </w:pPr>
          </w:p>
        </w:tc>
      </w:tr>
      <w:tr w:rsidR="00161425" w:rsidRPr="008377AA" w:rsidTr="00D159E6">
        <w:tc>
          <w:tcPr>
            <w:tcW w:w="1838" w:type="dxa"/>
          </w:tcPr>
          <w:p w:rsidR="00161425" w:rsidRPr="008377AA" w:rsidRDefault="00161425" w:rsidP="00196B8A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Art &amp; Design</w:t>
            </w:r>
          </w:p>
        </w:tc>
        <w:tc>
          <w:tcPr>
            <w:tcW w:w="7513" w:type="dxa"/>
            <w:shd w:val="clear" w:color="auto" w:fill="auto"/>
          </w:tcPr>
          <w:p w:rsidR="00D3774F" w:rsidRPr="00D159E6" w:rsidRDefault="00D3774F" w:rsidP="00D3774F">
            <w:pPr>
              <w:rPr>
                <w:rFonts w:ascii="SassoonInfant" w:hAnsi="SassoonInfant"/>
                <w:sz w:val="24"/>
              </w:rPr>
            </w:pPr>
            <w:r w:rsidRPr="00D159E6">
              <w:rPr>
                <w:rFonts w:ascii="SassoonInfant" w:hAnsi="SassoonInfant"/>
                <w:sz w:val="24"/>
              </w:rPr>
              <w:t>Assessment objectives (jigsaw grid) to be included at the start of each new unit of work and glued into sketchbooks on the page following the unit title page</w:t>
            </w:r>
          </w:p>
          <w:p w:rsidR="00D3774F" w:rsidRPr="00D159E6" w:rsidRDefault="00D3774F" w:rsidP="00D3774F">
            <w:pPr>
              <w:rPr>
                <w:rFonts w:ascii="SassoonInfant" w:hAnsi="SassoonInfant"/>
                <w:sz w:val="24"/>
              </w:rPr>
            </w:pPr>
          </w:p>
          <w:p w:rsidR="00977B58" w:rsidRDefault="00D3774F" w:rsidP="00161425">
            <w:pPr>
              <w:rPr>
                <w:rFonts w:ascii="SassoonInfant" w:hAnsi="SassoonInfant"/>
                <w:sz w:val="24"/>
              </w:rPr>
            </w:pPr>
            <w:r w:rsidRPr="00D159E6">
              <w:rPr>
                <w:rFonts w:ascii="SassoonInfant" w:hAnsi="SassoonInfant"/>
                <w:sz w:val="24"/>
              </w:rPr>
              <w:t xml:space="preserve">End of Unit Excel Spreadsheet (assessment 2 tab) tracking achievement against key objectives, identifying pupils Working Towards ARE (‘All’ </w:t>
            </w:r>
            <w:r w:rsidRPr="00D159E6">
              <w:rPr>
                <w:rFonts w:ascii="SassoonInfant" w:hAnsi="SassoonInfant"/>
                <w:sz w:val="24"/>
              </w:rPr>
              <w:lastRenderedPageBreak/>
              <w:t>statements), Working at ARE (‘Most’ statements) and Working at Greater Depth (‘Some’ statements)</w:t>
            </w:r>
          </w:p>
          <w:p w:rsidR="00E3076F" w:rsidRPr="0030233D" w:rsidRDefault="00E3076F" w:rsidP="00161425">
            <w:pPr>
              <w:rPr>
                <w:rFonts w:ascii="SassoonInfant" w:hAnsi="SassoonInfant"/>
                <w:sz w:val="24"/>
              </w:rPr>
            </w:pPr>
          </w:p>
        </w:tc>
      </w:tr>
      <w:tr w:rsidR="00161425" w:rsidRPr="008377AA" w:rsidTr="00D159E6">
        <w:tc>
          <w:tcPr>
            <w:tcW w:w="1838" w:type="dxa"/>
          </w:tcPr>
          <w:p w:rsidR="00161425" w:rsidRPr="008377AA" w:rsidRDefault="00161425" w:rsidP="00196B8A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8377AA">
              <w:rPr>
                <w:rFonts w:ascii="SassoonInfant" w:hAnsi="SassoonInfant"/>
                <w:b/>
                <w:sz w:val="28"/>
              </w:rPr>
              <w:lastRenderedPageBreak/>
              <w:t>Computing</w:t>
            </w:r>
          </w:p>
        </w:tc>
        <w:tc>
          <w:tcPr>
            <w:tcW w:w="7513" w:type="dxa"/>
            <w:shd w:val="clear" w:color="auto" w:fill="auto"/>
          </w:tcPr>
          <w:p w:rsidR="00F8260C" w:rsidRPr="00D159E6" w:rsidRDefault="00F8260C" w:rsidP="00161425">
            <w:pPr>
              <w:rPr>
                <w:rFonts w:ascii="SassoonInfant" w:hAnsi="SassoonInfant"/>
                <w:sz w:val="24"/>
              </w:rPr>
            </w:pPr>
            <w:r w:rsidRPr="00D159E6">
              <w:rPr>
                <w:rFonts w:ascii="SassoonInfant" w:hAnsi="SassoonInfant"/>
                <w:sz w:val="24"/>
              </w:rPr>
              <w:t xml:space="preserve">Assessment objectives </w:t>
            </w:r>
            <w:r w:rsidR="007315B4" w:rsidRPr="00D159E6">
              <w:rPr>
                <w:rFonts w:ascii="SassoonInfant" w:hAnsi="SassoonInfant"/>
                <w:sz w:val="24"/>
              </w:rPr>
              <w:t xml:space="preserve">(jigsaw grid) </w:t>
            </w:r>
            <w:r w:rsidRPr="00D159E6">
              <w:rPr>
                <w:rFonts w:ascii="SassoonInfant" w:hAnsi="SassoonInfant"/>
                <w:sz w:val="24"/>
              </w:rPr>
              <w:t>to be included at the start of each new unit of work in Computing class evidence file</w:t>
            </w:r>
          </w:p>
          <w:p w:rsidR="00F8260C" w:rsidRPr="00D159E6" w:rsidRDefault="00F8260C" w:rsidP="00161425">
            <w:pPr>
              <w:rPr>
                <w:rFonts w:ascii="SassoonInfant" w:hAnsi="SassoonInfant"/>
                <w:sz w:val="24"/>
              </w:rPr>
            </w:pPr>
          </w:p>
          <w:p w:rsidR="00161425" w:rsidRPr="00D159E6" w:rsidRDefault="001B46D6" w:rsidP="00161425">
            <w:pPr>
              <w:rPr>
                <w:rFonts w:ascii="SassoonInfant" w:hAnsi="SassoonInfant"/>
                <w:sz w:val="24"/>
              </w:rPr>
            </w:pPr>
            <w:r w:rsidRPr="00D159E6">
              <w:rPr>
                <w:rFonts w:ascii="SassoonInfant" w:hAnsi="SassoonInfant"/>
                <w:sz w:val="24"/>
              </w:rPr>
              <w:t>End of Unit Excel Spreadsheet</w:t>
            </w:r>
            <w:r w:rsidR="007315B4" w:rsidRPr="00D159E6">
              <w:rPr>
                <w:rFonts w:ascii="SassoonInfant" w:hAnsi="SassoonInfant"/>
                <w:sz w:val="24"/>
              </w:rPr>
              <w:t xml:space="preserve"> (assessment 2 tab)</w:t>
            </w:r>
            <w:r w:rsidRPr="00D159E6">
              <w:rPr>
                <w:rFonts w:ascii="SassoonInfant" w:hAnsi="SassoonInfant"/>
                <w:sz w:val="24"/>
              </w:rPr>
              <w:t xml:space="preserve"> tracking achievement against key objectives</w:t>
            </w:r>
            <w:r w:rsidR="007315B4" w:rsidRPr="00D159E6">
              <w:rPr>
                <w:rFonts w:ascii="SassoonInfant" w:hAnsi="SassoonInfant"/>
                <w:sz w:val="24"/>
              </w:rPr>
              <w:t>, identifying pupils Working Towards ARE (‘All’ statements), Working a</w:t>
            </w:r>
            <w:r w:rsidR="00F8260C" w:rsidRPr="00D159E6">
              <w:rPr>
                <w:rFonts w:ascii="SassoonInfant" w:hAnsi="SassoonInfant"/>
                <w:sz w:val="24"/>
              </w:rPr>
              <w:t>t</w:t>
            </w:r>
            <w:r w:rsidR="007315B4" w:rsidRPr="00D159E6">
              <w:rPr>
                <w:rFonts w:ascii="SassoonInfant" w:hAnsi="SassoonInfant"/>
                <w:sz w:val="24"/>
              </w:rPr>
              <w:t xml:space="preserve"> ARE (‘Most’ statements)</w:t>
            </w:r>
            <w:r w:rsidR="00F8260C" w:rsidRPr="00D159E6">
              <w:rPr>
                <w:rFonts w:ascii="SassoonInfant" w:hAnsi="SassoonInfant"/>
                <w:sz w:val="24"/>
              </w:rPr>
              <w:t xml:space="preserve"> and Working at Greater Depth</w:t>
            </w:r>
            <w:r w:rsidR="007315B4" w:rsidRPr="00D159E6">
              <w:rPr>
                <w:rFonts w:ascii="SassoonInfant" w:hAnsi="SassoonInfant"/>
                <w:sz w:val="24"/>
              </w:rPr>
              <w:t xml:space="preserve"> (‘Some’ statements)</w:t>
            </w:r>
          </w:p>
          <w:p w:rsidR="00161425" w:rsidRPr="00D159E6" w:rsidRDefault="00161425" w:rsidP="00161425">
            <w:pPr>
              <w:rPr>
                <w:rFonts w:ascii="SassoonInfant" w:hAnsi="SassoonInfant"/>
                <w:sz w:val="24"/>
              </w:rPr>
            </w:pPr>
          </w:p>
          <w:p w:rsidR="00977B58" w:rsidRPr="00D159E6" w:rsidRDefault="00161425" w:rsidP="00F8260C">
            <w:pPr>
              <w:rPr>
                <w:rFonts w:ascii="SassoonInfant" w:hAnsi="SassoonInfant"/>
                <w:sz w:val="24"/>
              </w:rPr>
            </w:pPr>
            <w:r w:rsidRPr="00D159E6">
              <w:rPr>
                <w:rFonts w:ascii="SassoonInfant" w:hAnsi="SassoonInfant"/>
                <w:sz w:val="24"/>
              </w:rPr>
              <w:t>End of year ‘Using &amp; Applying’ unit of work – independent application of knowledge and skills developed over the course of the year</w:t>
            </w:r>
          </w:p>
          <w:p w:rsidR="00F8260C" w:rsidRPr="00D159E6" w:rsidRDefault="00F8260C" w:rsidP="00F8260C">
            <w:pPr>
              <w:rPr>
                <w:rFonts w:ascii="SassoonInfant" w:hAnsi="SassoonInfant"/>
                <w:sz w:val="24"/>
              </w:rPr>
            </w:pPr>
          </w:p>
        </w:tc>
      </w:tr>
      <w:tr w:rsidR="00161425" w:rsidRPr="008377AA" w:rsidTr="00D159E6">
        <w:tc>
          <w:tcPr>
            <w:tcW w:w="1838" w:type="dxa"/>
          </w:tcPr>
          <w:p w:rsidR="00161425" w:rsidRDefault="00161425" w:rsidP="00196B8A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Design &amp; Technology</w:t>
            </w:r>
          </w:p>
        </w:tc>
        <w:tc>
          <w:tcPr>
            <w:tcW w:w="7513" w:type="dxa"/>
            <w:shd w:val="clear" w:color="auto" w:fill="auto"/>
          </w:tcPr>
          <w:p w:rsidR="00B85F17" w:rsidRPr="00D159E6" w:rsidRDefault="00B85F17" w:rsidP="00B85F17">
            <w:pPr>
              <w:rPr>
                <w:rFonts w:ascii="SassoonInfant" w:hAnsi="SassoonInfant"/>
                <w:sz w:val="24"/>
              </w:rPr>
            </w:pPr>
            <w:r w:rsidRPr="00D159E6">
              <w:rPr>
                <w:rFonts w:ascii="SassoonInfant" w:hAnsi="SassoonInfant"/>
                <w:sz w:val="24"/>
              </w:rPr>
              <w:t>Assessment objectives (jigsaw grid) to be included at the start of each new unit of work and glued into D&amp;T books on the page following the unit title page</w:t>
            </w:r>
          </w:p>
          <w:p w:rsidR="00B85F17" w:rsidRPr="00D159E6" w:rsidRDefault="00B85F17" w:rsidP="00B85F17">
            <w:pPr>
              <w:rPr>
                <w:rFonts w:ascii="SassoonInfant" w:hAnsi="SassoonInfant"/>
                <w:sz w:val="24"/>
              </w:rPr>
            </w:pPr>
          </w:p>
          <w:p w:rsidR="00B85F17" w:rsidRPr="00D159E6" w:rsidRDefault="00B85F17" w:rsidP="00B85F17">
            <w:pPr>
              <w:rPr>
                <w:rFonts w:ascii="SassoonInfant" w:hAnsi="SassoonInfant"/>
                <w:sz w:val="24"/>
              </w:rPr>
            </w:pPr>
            <w:r w:rsidRPr="00D159E6">
              <w:rPr>
                <w:rFonts w:ascii="SassoonInfant" w:hAnsi="SassoonInfant"/>
                <w:sz w:val="24"/>
              </w:rPr>
              <w:t>End of Unit Excel Spreadsheet (assessment 2 tab) tracking achievement against key objectives, identifying pupils Working Towards ARE (‘All’ statements), Working at ARE (‘Most’ statements) and Working at Greater Depth (‘Some’ statements)</w:t>
            </w:r>
          </w:p>
          <w:p w:rsidR="00977B58" w:rsidRPr="00D159E6" w:rsidRDefault="00977B58" w:rsidP="00161425"/>
        </w:tc>
      </w:tr>
      <w:tr w:rsidR="00161425" w:rsidRPr="008377AA" w:rsidTr="00DB0D21">
        <w:tc>
          <w:tcPr>
            <w:tcW w:w="1838" w:type="dxa"/>
          </w:tcPr>
          <w:p w:rsidR="00161425" w:rsidRPr="008377AA" w:rsidRDefault="00161425" w:rsidP="00196B8A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Music</w:t>
            </w:r>
          </w:p>
        </w:tc>
        <w:tc>
          <w:tcPr>
            <w:tcW w:w="7513" w:type="dxa"/>
          </w:tcPr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End of unit assessment grid identifying which pupils are working towards, working at and working at GD (using AfL over the course of the unit of work)</w:t>
            </w:r>
          </w:p>
          <w:p w:rsidR="00BC5332" w:rsidRDefault="00BC5332" w:rsidP="00161425">
            <w:pPr>
              <w:rPr>
                <w:rFonts w:ascii="SassoonInfant" w:hAnsi="SassoonInfant"/>
                <w:sz w:val="24"/>
              </w:rPr>
            </w:pPr>
          </w:p>
          <w:p w:rsidR="00BC5332" w:rsidRDefault="00BC5332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Assessment grid to be completed (working towards, ARE and working at GD columns) and added to Music class evidence folder for each half term</w:t>
            </w:r>
          </w:p>
          <w:p w:rsidR="00977B58" w:rsidRDefault="00977B58" w:rsidP="00161425"/>
        </w:tc>
      </w:tr>
      <w:tr w:rsidR="00161425" w:rsidRPr="008377AA" w:rsidTr="009D6B2F">
        <w:tc>
          <w:tcPr>
            <w:tcW w:w="1838" w:type="dxa"/>
          </w:tcPr>
          <w:p w:rsidR="00161425" w:rsidRPr="008377AA" w:rsidRDefault="00161425" w:rsidP="00196B8A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R.E.</w:t>
            </w:r>
          </w:p>
        </w:tc>
        <w:tc>
          <w:tcPr>
            <w:tcW w:w="7513" w:type="dxa"/>
          </w:tcPr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Sandwell SACRE syllabus guidance</w:t>
            </w:r>
          </w:p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</w:p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Written response to a ‘big question’ at the end of each unit of work</w:t>
            </w:r>
          </w:p>
          <w:p w:rsidR="00BC5332" w:rsidRDefault="00BC5332" w:rsidP="00161425">
            <w:pPr>
              <w:rPr>
                <w:rFonts w:ascii="SassoonInfant" w:hAnsi="SassoonInfant"/>
                <w:sz w:val="24"/>
              </w:rPr>
            </w:pPr>
          </w:p>
          <w:p w:rsidR="00BC5332" w:rsidRDefault="00BC5332" w:rsidP="00BC53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Assessment grid to be completed (working towards, ARE and working at GD columns)</w:t>
            </w:r>
          </w:p>
          <w:p w:rsidR="00977B58" w:rsidRDefault="00977B58" w:rsidP="00161425"/>
        </w:tc>
      </w:tr>
      <w:tr w:rsidR="00161425" w:rsidRPr="008377AA" w:rsidTr="00D159E6">
        <w:tc>
          <w:tcPr>
            <w:tcW w:w="1838" w:type="dxa"/>
          </w:tcPr>
          <w:p w:rsidR="00161425" w:rsidRPr="008377AA" w:rsidRDefault="00161425" w:rsidP="008377AA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P.E.</w:t>
            </w:r>
          </w:p>
        </w:tc>
        <w:tc>
          <w:tcPr>
            <w:tcW w:w="7513" w:type="dxa"/>
            <w:shd w:val="clear" w:color="auto" w:fill="auto"/>
          </w:tcPr>
          <w:p w:rsidR="00161425" w:rsidRDefault="00C0701B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Power of PE</w:t>
            </w:r>
            <w:r w:rsidR="006232DD">
              <w:rPr>
                <w:rFonts w:ascii="SassoonInfant" w:hAnsi="SassoonInfant"/>
                <w:sz w:val="24"/>
              </w:rPr>
              <w:t xml:space="preserve"> (</w:t>
            </w:r>
            <w:r w:rsidR="006232DD" w:rsidRPr="006232DD">
              <w:rPr>
                <w:rFonts w:ascii="SassoonInfant" w:hAnsi="SassoonInfant"/>
                <w:i/>
                <w:sz w:val="24"/>
              </w:rPr>
              <w:t>scheme of work</w:t>
            </w:r>
            <w:r w:rsidR="006232DD">
              <w:rPr>
                <w:rFonts w:ascii="SassoonInfant" w:hAnsi="SassoonInfant"/>
                <w:sz w:val="24"/>
              </w:rPr>
              <w:t>)</w:t>
            </w:r>
            <w:r>
              <w:rPr>
                <w:rFonts w:ascii="SassoonInfant" w:hAnsi="SassoonInfant"/>
                <w:sz w:val="24"/>
              </w:rPr>
              <w:t xml:space="preserve"> assessment spreadsheet updated at the end of each unit of work (different colour used each half term) to track progress and show when progress against each statement was made.</w:t>
            </w:r>
          </w:p>
          <w:p w:rsidR="00C0701B" w:rsidRDefault="00C0701B" w:rsidP="00161425">
            <w:pPr>
              <w:rPr>
                <w:rFonts w:ascii="SassoonInfant" w:hAnsi="SassoonInfant"/>
                <w:sz w:val="24"/>
              </w:rPr>
            </w:pPr>
          </w:p>
          <w:p w:rsidR="0030233D" w:rsidRDefault="00C0701B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Sp</w:t>
            </w:r>
            <w:r w:rsidR="00096F59">
              <w:rPr>
                <w:rFonts w:ascii="SassoonInfant" w:hAnsi="SassoonInfant"/>
                <w:sz w:val="24"/>
              </w:rPr>
              <w:t>r</w:t>
            </w:r>
            <w:bookmarkStart w:id="0" w:name="_GoBack"/>
            <w:bookmarkEnd w:id="0"/>
            <w:r>
              <w:rPr>
                <w:rFonts w:ascii="SassoonInfant" w:hAnsi="SassoonInfant"/>
                <w:sz w:val="24"/>
              </w:rPr>
              <w:t xml:space="preserve">eadsheet includes 4 cells for each pupil for each objective. 1 cell highlighted indicates pupil is Working Towards ARE, 2 cells is Working at </w:t>
            </w:r>
            <w:r>
              <w:rPr>
                <w:rFonts w:ascii="SassoonInfant" w:hAnsi="SassoonInfant"/>
                <w:sz w:val="24"/>
              </w:rPr>
              <w:lastRenderedPageBreak/>
              <w:t>ARE, 3 cells is Working at Greater Depth and 4 cells is exceptional (e.g. representing county in a related activity)</w:t>
            </w:r>
          </w:p>
          <w:p w:rsidR="0030233D" w:rsidRDefault="0030233D" w:rsidP="00161425">
            <w:pPr>
              <w:rPr>
                <w:rFonts w:ascii="SassoonInfant" w:hAnsi="SassoonInfant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62"/>
              <w:gridCol w:w="1262"/>
            </w:tblGrid>
            <w:tr w:rsidR="00C0701B" w:rsidTr="00C0701B">
              <w:trPr>
                <w:trHeight w:val="263"/>
              </w:trPr>
              <w:tc>
                <w:tcPr>
                  <w:tcW w:w="1262" w:type="dxa"/>
                </w:tcPr>
                <w:p w:rsidR="00C0701B" w:rsidRPr="00C0701B" w:rsidRDefault="00C0701B" w:rsidP="00C0701B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C0701B">
                    <w:rPr>
                      <w:rFonts w:ascii="SassoonInfant" w:hAnsi="SassoonInfant"/>
                      <w:b/>
                      <w:sz w:val="24"/>
                    </w:rPr>
                    <w:t>Aut 1</w:t>
                  </w:r>
                </w:p>
              </w:tc>
              <w:tc>
                <w:tcPr>
                  <w:tcW w:w="1262" w:type="dxa"/>
                  <w:shd w:val="clear" w:color="auto" w:fill="FF0000"/>
                </w:tcPr>
                <w:p w:rsidR="00C0701B" w:rsidRDefault="00C0701B" w:rsidP="00161425">
                  <w:pPr>
                    <w:rPr>
                      <w:rFonts w:ascii="SassoonInfant" w:hAnsi="SassoonInfant"/>
                      <w:sz w:val="24"/>
                    </w:rPr>
                  </w:pPr>
                </w:p>
              </w:tc>
            </w:tr>
            <w:tr w:rsidR="00C0701B" w:rsidTr="00C0701B">
              <w:trPr>
                <w:trHeight w:val="250"/>
              </w:trPr>
              <w:tc>
                <w:tcPr>
                  <w:tcW w:w="1262" w:type="dxa"/>
                </w:tcPr>
                <w:p w:rsidR="00C0701B" w:rsidRPr="00C0701B" w:rsidRDefault="00C0701B" w:rsidP="00C0701B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C0701B">
                    <w:rPr>
                      <w:rFonts w:ascii="SassoonInfant" w:hAnsi="SassoonInfant"/>
                      <w:b/>
                      <w:sz w:val="24"/>
                    </w:rPr>
                    <w:t>Aut 2</w:t>
                  </w:r>
                </w:p>
              </w:tc>
              <w:tc>
                <w:tcPr>
                  <w:tcW w:w="1262" w:type="dxa"/>
                  <w:shd w:val="clear" w:color="auto" w:fill="FFC000"/>
                </w:tcPr>
                <w:p w:rsidR="00C0701B" w:rsidRDefault="00C0701B" w:rsidP="00161425">
                  <w:pPr>
                    <w:rPr>
                      <w:rFonts w:ascii="SassoonInfant" w:hAnsi="SassoonInfant"/>
                      <w:sz w:val="24"/>
                    </w:rPr>
                  </w:pPr>
                </w:p>
              </w:tc>
            </w:tr>
            <w:tr w:rsidR="00C0701B" w:rsidTr="00C0701B">
              <w:trPr>
                <w:trHeight w:val="263"/>
              </w:trPr>
              <w:tc>
                <w:tcPr>
                  <w:tcW w:w="1262" w:type="dxa"/>
                </w:tcPr>
                <w:p w:rsidR="00C0701B" w:rsidRPr="00C0701B" w:rsidRDefault="00C0701B" w:rsidP="00C0701B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C0701B">
                    <w:rPr>
                      <w:rFonts w:ascii="SassoonInfant" w:hAnsi="SassoonInfant"/>
                      <w:b/>
                      <w:sz w:val="24"/>
                    </w:rPr>
                    <w:t>Spr 1</w:t>
                  </w:r>
                </w:p>
              </w:tc>
              <w:tc>
                <w:tcPr>
                  <w:tcW w:w="1262" w:type="dxa"/>
                  <w:shd w:val="clear" w:color="auto" w:fill="FFFF00"/>
                </w:tcPr>
                <w:p w:rsidR="00C0701B" w:rsidRDefault="00C0701B" w:rsidP="00161425">
                  <w:pPr>
                    <w:rPr>
                      <w:rFonts w:ascii="SassoonInfant" w:hAnsi="SassoonInfant"/>
                      <w:sz w:val="24"/>
                    </w:rPr>
                  </w:pPr>
                </w:p>
              </w:tc>
            </w:tr>
            <w:tr w:rsidR="00C0701B" w:rsidTr="00C0701B">
              <w:trPr>
                <w:trHeight w:val="250"/>
              </w:trPr>
              <w:tc>
                <w:tcPr>
                  <w:tcW w:w="1262" w:type="dxa"/>
                </w:tcPr>
                <w:p w:rsidR="00C0701B" w:rsidRPr="00C0701B" w:rsidRDefault="00C0701B" w:rsidP="00C0701B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C0701B">
                    <w:rPr>
                      <w:rFonts w:ascii="SassoonInfant" w:hAnsi="SassoonInfant"/>
                      <w:b/>
                      <w:sz w:val="24"/>
                    </w:rPr>
                    <w:t>Spr 2</w:t>
                  </w:r>
                </w:p>
              </w:tc>
              <w:tc>
                <w:tcPr>
                  <w:tcW w:w="1262" w:type="dxa"/>
                  <w:shd w:val="clear" w:color="auto" w:fill="00FF00"/>
                </w:tcPr>
                <w:p w:rsidR="00C0701B" w:rsidRDefault="00C0701B" w:rsidP="00161425">
                  <w:pPr>
                    <w:rPr>
                      <w:rFonts w:ascii="SassoonInfant" w:hAnsi="SassoonInfant"/>
                      <w:sz w:val="24"/>
                    </w:rPr>
                  </w:pPr>
                </w:p>
              </w:tc>
            </w:tr>
            <w:tr w:rsidR="00C0701B" w:rsidTr="00C0701B">
              <w:trPr>
                <w:trHeight w:val="263"/>
              </w:trPr>
              <w:tc>
                <w:tcPr>
                  <w:tcW w:w="1262" w:type="dxa"/>
                </w:tcPr>
                <w:p w:rsidR="00C0701B" w:rsidRPr="00C0701B" w:rsidRDefault="00C0701B" w:rsidP="00C0701B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C0701B">
                    <w:rPr>
                      <w:rFonts w:ascii="SassoonInfant" w:hAnsi="SassoonInfant"/>
                      <w:b/>
                      <w:sz w:val="24"/>
                    </w:rPr>
                    <w:t>Sum 1</w:t>
                  </w:r>
                </w:p>
              </w:tc>
              <w:tc>
                <w:tcPr>
                  <w:tcW w:w="1262" w:type="dxa"/>
                  <w:shd w:val="clear" w:color="auto" w:fill="00B0F0"/>
                </w:tcPr>
                <w:p w:rsidR="00C0701B" w:rsidRDefault="00C0701B" w:rsidP="00161425">
                  <w:pPr>
                    <w:rPr>
                      <w:rFonts w:ascii="SassoonInfant" w:hAnsi="SassoonInfant"/>
                      <w:sz w:val="24"/>
                    </w:rPr>
                  </w:pPr>
                </w:p>
              </w:tc>
            </w:tr>
            <w:tr w:rsidR="00C0701B" w:rsidTr="00C0701B">
              <w:trPr>
                <w:trHeight w:val="250"/>
              </w:trPr>
              <w:tc>
                <w:tcPr>
                  <w:tcW w:w="1262" w:type="dxa"/>
                </w:tcPr>
                <w:p w:rsidR="00C0701B" w:rsidRPr="00C0701B" w:rsidRDefault="00C0701B" w:rsidP="00C0701B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C0701B">
                    <w:rPr>
                      <w:rFonts w:ascii="SassoonInfant" w:hAnsi="SassoonInfant"/>
                      <w:b/>
                      <w:sz w:val="24"/>
                    </w:rPr>
                    <w:t>Sum 2</w:t>
                  </w:r>
                </w:p>
              </w:tc>
              <w:tc>
                <w:tcPr>
                  <w:tcW w:w="1262" w:type="dxa"/>
                  <w:shd w:val="clear" w:color="auto" w:fill="FF00FF"/>
                </w:tcPr>
                <w:p w:rsidR="00C0701B" w:rsidRDefault="00C0701B" w:rsidP="00161425">
                  <w:pPr>
                    <w:rPr>
                      <w:rFonts w:ascii="SassoonInfant" w:hAnsi="SassoonInfant"/>
                      <w:sz w:val="24"/>
                    </w:rPr>
                  </w:pPr>
                </w:p>
              </w:tc>
            </w:tr>
          </w:tbl>
          <w:p w:rsidR="00C0701B" w:rsidRDefault="00C0701B" w:rsidP="00161425">
            <w:pPr>
              <w:rPr>
                <w:rFonts w:ascii="SassoonInfant" w:hAnsi="SassoonInfant"/>
                <w:sz w:val="24"/>
              </w:rPr>
            </w:pPr>
          </w:p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Termly bleep test (physical fitness)</w:t>
            </w:r>
            <w:r w:rsidR="00C0701B">
              <w:rPr>
                <w:rFonts w:ascii="SassoonInfant" w:hAnsi="SassoonInfant"/>
                <w:sz w:val="24"/>
              </w:rPr>
              <w:t>. Results tracked using a spreadsheet</w:t>
            </w:r>
          </w:p>
          <w:p w:rsidR="00977B58" w:rsidRPr="008377AA" w:rsidRDefault="00977B58" w:rsidP="00161425">
            <w:pPr>
              <w:rPr>
                <w:rFonts w:ascii="SassoonInfant" w:hAnsi="SassoonInfant"/>
                <w:sz w:val="24"/>
              </w:rPr>
            </w:pPr>
          </w:p>
        </w:tc>
      </w:tr>
      <w:tr w:rsidR="00161425" w:rsidRPr="008377AA" w:rsidTr="00D159E6">
        <w:tc>
          <w:tcPr>
            <w:tcW w:w="1838" w:type="dxa"/>
          </w:tcPr>
          <w:p w:rsidR="00161425" w:rsidRDefault="00161425" w:rsidP="008377AA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lastRenderedPageBreak/>
              <w:t>MFL</w:t>
            </w:r>
          </w:p>
        </w:tc>
        <w:tc>
          <w:tcPr>
            <w:tcW w:w="7513" w:type="dxa"/>
            <w:shd w:val="clear" w:color="auto" w:fill="auto"/>
          </w:tcPr>
          <w:p w:rsidR="00161425" w:rsidRDefault="00161425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Language Angels</w:t>
            </w:r>
            <w:r w:rsidR="00C0701B">
              <w:rPr>
                <w:rFonts w:ascii="SassoonInfant" w:hAnsi="SassoonInfant"/>
                <w:sz w:val="24"/>
              </w:rPr>
              <w:t xml:space="preserve"> </w:t>
            </w:r>
            <w:r w:rsidR="00641BDE">
              <w:rPr>
                <w:rFonts w:ascii="SassoonInfant" w:hAnsi="SassoonInfant"/>
                <w:sz w:val="24"/>
              </w:rPr>
              <w:t>(</w:t>
            </w:r>
            <w:r w:rsidR="00641BDE" w:rsidRPr="006232DD">
              <w:rPr>
                <w:rFonts w:ascii="SassoonInfant" w:hAnsi="SassoonInfant"/>
                <w:i/>
                <w:sz w:val="24"/>
              </w:rPr>
              <w:t>scheme of work</w:t>
            </w:r>
            <w:r w:rsidR="00641BDE">
              <w:rPr>
                <w:rFonts w:ascii="SassoonInfant" w:hAnsi="SassoonInfant"/>
                <w:sz w:val="24"/>
              </w:rPr>
              <w:t xml:space="preserve">) </w:t>
            </w:r>
            <w:r w:rsidR="00C0701B">
              <w:rPr>
                <w:rFonts w:ascii="SassoonInfant" w:hAnsi="SassoonInfant"/>
                <w:sz w:val="24"/>
              </w:rPr>
              <w:t>online assessment, tracking and progression tool</w:t>
            </w:r>
            <w:r w:rsidR="006232DD">
              <w:rPr>
                <w:rFonts w:ascii="SassoonInfant" w:hAnsi="SassoonInfant"/>
                <w:sz w:val="24"/>
              </w:rPr>
              <w:t xml:space="preserve"> updated at the end of every unit of work.</w:t>
            </w:r>
          </w:p>
          <w:p w:rsidR="00306EC9" w:rsidRDefault="00306EC9" w:rsidP="00161425">
            <w:pPr>
              <w:rPr>
                <w:rFonts w:ascii="SassoonInfant" w:hAnsi="SassoonInfant"/>
                <w:sz w:val="24"/>
              </w:rPr>
            </w:pPr>
          </w:p>
          <w:p w:rsidR="00306EC9" w:rsidRDefault="00306EC9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Each pupil’s learning and progression is assessed and measured against each of the four key language learning skills (speaking, listening, reading and writing)</w:t>
            </w:r>
          </w:p>
          <w:p w:rsidR="00306EC9" w:rsidRDefault="00306EC9" w:rsidP="00161425">
            <w:pPr>
              <w:rPr>
                <w:rFonts w:ascii="SassoonInfant" w:hAnsi="SassoonInfant"/>
                <w:sz w:val="24"/>
              </w:rPr>
            </w:pPr>
          </w:p>
          <w:p w:rsidR="00306EC9" w:rsidRDefault="00306EC9" w:rsidP="00161425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Each of these four skills is assessed by asking pupils to answer 5 questions per skill – a total of 20 questions per unit of work.</w:t>
            </w:r>
            <w:r w:rsidR="005163AA">
              <w:rPr>
                <w:rFonts w:ascii="SassoonInfant" w:hAnsi="SassoonInfant"/>
                <w:sz w:val="24"/>
              </w:rPr>
              <w:t xml:space="preserve"> The questions are unit specific and are based on the language pupils have been taught in each particular unit.</w:t>
            </w:r>
          </w:p>
          <w:p w:rsidR="00306EC9" w:rsidRDefault="00306EC9" w:rsidP="00161425">
            <w:pPr>
              <w:rPr>
                <w:rFonts w:ascii="SassoonInfant" w:hAnsi="SassoonInfant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3544"/>
            </w:tblGrid>
            <w:tr w:rsidR="00306EC9" w:rsidTr="00DC71B3">
              <w:trPr>
                <w:trHeight w:val="122"/>
              </w:trPr>
              <w:tc>
                <w:tcPr>
                  <w:tcW w:w="2014" w:type="dxa"/>
                </w:tcPr>
                <w:p w:rsidR="00306EC9" w:rsidRPr="00306EC9" w:rsidRDefault="00306EC9" w:rsidP="00306EC9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0%-25%</w:t>
                  </w:r>
                </w:p>
              </w:tc>
              <w:tc>
                <w:tcPr>
                  <w:tcW w:w="3544" w:type="dxa"/>
                  <w:shd w:val="clear" w:color="auto" w:fill="FFCCFF"/>
                </w:tcPr>
                <w:p w:rsidR="00306EC9" w:rsidRDefault="00306EC9" w:rsidP="00306EC9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Working Towards ARE</w:t>
                  </w:r>
                </w:p>
              </w:tc>
            </w:tr>
            <w:tr w:rsidR="00306EC9" w:rsidTr="00DC71B3">
              <w:trPr>
                <w:trHeight w:val="116"/>
              </w:trPr>
              <w:tc>
                <w:tcPr>
                  <w:tcW w:w="2014" w:type="dxa"/>
                </w:tcPr>
                <w:p w:rsidR="00306EC9" w:rsidRPr="00306EC9" w:rsidRDefault="00306EC9" w:rsidP="00306EC9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26%-45%</w:t>
                  </w:r>
                </w:p>
              </w:tc>
              <w:tc>
                <w:tcPr>
                  <w:tcW w:w="3544" w:type="dxa"/>
                  <w:shd w:val="clear" w:color="auto" w:fill="FFFF99"/>
                </w:tcPr>
                <w:p w:rsidR="00306EC9" w:rsidRDefault="00306EC9" w:rsidP="00306EC9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Emerging ARE</w:t>
                  </w:r>
                </w:p>
              </w:tc>
            </w:tr>
            <w:tr w:rsidR="00306EC9" w:rsidTr="00DC71B3">
              <w:trPr>
                <w:trHeight w:val="122"/>
              </w:trPr>
              <w:tc>
                <w:tcPr>
                  <w:tcW w:w="2014" w:type="dxa"/>
                </w:tcPr>
                <w:p w:rsidR="00306EC9" w:rsidRPr="00306EC9" w:rsidRDefault="00306EC9" w:rsidP="00306EC9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46%-65%</w:t>
                  </w:r>
                </w:p>
              </w:tc>
              <w:tc>
                <w:tcPr>
                  <w:tcW w:w="3544" w:type="dxa"/>
                  <w:shd w:val="clear" w:color="auto" w:fill="FFFF00"/>
                </w:tcPr>
                <w:p w:rsidR="00306EC9" w:rsidRDefault="00306EC9" w:rsidP="00306EC9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Working at ARE</w:t>
                  </w:r>
                </w:p>
              </w:tc>
            </w:tr>
            <w:tr w:rsidR="00306EC9" w:rsidTr="00DC71B3">
              <w:trPr>
                <w:trHeight w:val="116"/>
              </w:trPr>
              <w:tc>
                <w:tcPr>
                  <w:tcW w:w="2014" w:type="dxa"/>
                </w:tcPr>
                <w:p w:rsidR="00306EC9" w:rsidRPr="00306EC9" w:rsidRDefault="00306EC9" w:rsidP="00306EC9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66%-85%</w:t>
                  </w:r>
                </w:p>
              </w:tc>
              <w:tc>
                <w:tcPr>
                  <w:tcW w:w="3544" w:type="dxa"/>
                  <w:shd w:val="clear" w:color="auto" w:fill="66FF99"/>
                </w:tcPr>
                <w:p w:rsidR="00306EC9" w:rsidRDefault="00306EC9" w:rsidP="00306EC9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Working Towards Greater Depth</w:t>
                  </w:r>
                </w:p>
              </w:tc>
            </w:tr>
            <w:tr w:rsidR="00306EC9" w:rsidTr="00DC71B3">
              <w:trPr>
                <w:trHeight w:val="122"/>
              </w:trPr>
              <w:tc>
                <w:tcPr>
                  <w:tcW w:w="2014" w:type="dxa"/>
                </w:tcPr>
                <w:p w:rsidR="00306EC9" w:rsidRPr="00306EC9" w:rsidRDefault="00306EC9" w:rsidP="00306EC9">
                  <w:pPr>
                    <w:jc w:val="center"/>
                    <w:rPr>
                      <w:rFonts w:ascii="SassoonInfant" w:hAnsi="SassoonInfant"/>
                      <w:b/>
                      <w:sz w:val="24"/>
                    </w:rPr>
                  </w:pPr>
                  <w:r w:rsidRPr="00306EC9">
                    <w:rPr>
                      <w:rFonts w:ascii="SassoonInfant" w:hAnsi="SassoonInfant"/>
                      <w:b/>
                      <w:sz w:val="24"/>
                    </w:rPr>
                    <w:t>86%-100%</w:t>
                  </w:r>
                </w:p>
              </w:tc>
              <w:tc>
                <w:tcPr>
                  <w:tcW w:w="3544" w:type="dxa"/>
                  <w:shd w:val="clear" w:color="auto" w:fill="00FF00"/>
                </w:tcPr>
                <w:p w:rsidR="00306EC9" w:rsidRDefault="00306EC9" w:rsidP="00306EC9">
                  <w:pPr>
                    <w:jc w:val="center"/>
                    <w:rPr>
                      <w:rFonts w:ascii="SassoonInfant" w:hAnsi="SassoonInfant"/>
                      <w:sz w:val="24"/>
                    </w:rPr>
                  </w:pPr>
                  <w:r>
                    <w:rPr>
                      <w:rFonts w:ascii="SassoonInfant" w:hAnsi="SassoonInfant"/>
                      <w:sz w:val="24"/>
                    </w:rPr>
                    <w:t>Working at Greater Depth</w:t>
                  </w:r>
                </w:p>
              </w:tc>
            </w:tr>
          </w:tbl>
          <w:p w:rsidR="00977B58" w:rsidRDefault="00977B58" w:rsidP="005163AA">
            <w:pPr>
              <w:pStyle w:val="NoSpacing"/>
            </w:pPr>
          </w:p>
        </w:tc>
      </w:tr>
    </w:tbl>
    <w:p w:rsidR="006232DD" w:rsidRDefault="006232DD" w:rsidP="006232DD">
      <w:pPr>
        <w:jc w:val="center"/>
        <w:rPr>
          <w:rFonts w:ascii="SassoonInfant" w:hAnsi="SassoonInfant"/>
          <w:sz w:val="24"/>
        </w:rPr>
      </w:pPr>
    </w:p>
    <w:p w:rsidR="006232DD" w:rsidRDefault="006232DD" w:rsidP="006232DD">
      <w:pPr>
        <w:jc w:val="center"/>
        <w:rPr>
          <w:rFonts w:ascii="SassoonInfant" w:hAnsi="SassoonInfant"/>
          <w:sz w:val="24"/>
        </w:rPr>
      </w:pPr>
      <w:r>
        <w:rPr>
          <w:rFonts w:ascii="SassoonInfant" w:hAnsi="SassoonInfant"/>
          <w:sz w:val="24"/>
        </w:rPr>
        <w:t>Non-Core assessment data will be reviewed termly by Subject Leads, the Curriculum Lead and SLT and will be subject to internal moderation.</w:t>
      </w:r>
    </w:p>
    <w:p w:rsidR="006232DD" w:rsidRPr="008377AA" w:rsidRDefault="006232DD" w:rsidP="006232DD">
      <w:pPr>
        <w:jc w:val="center"/>
        <w:rPr>
          <w:rFonts w:ascii="SassoonInfant" w:hAnsi="SassoonInfant"/>
          <w:sz w:val="24"/>
        </w:rPr>
      </w:pPr>
      <w:r>
        <w:rPr>
          <w:rFonts w:ascii="SassoonInfant" w:hAnsi="SassoonInfant"/>
          <w:sz w:val="24"/>
        </w:rPr>
        <w:t>Class teachers will discuss the attainment and progress of pupils in all non-core subjects at termly Pupil Progress meetings with members of SLT.</w:t>
      </w:r>
    </w:p>
    <w:sectPr w:rsidR="006232DD" w:rsidRPr="008377A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DF" w:rsidRDefault="00293DDF" w:rsidP="008377AA">
      <w:pPr>
        <w:spacing w:after="0" w:line="240" w:lineRule="auto"/>
      </w:pPr>
      <w:r>
        <w:separator/>
      </w:r>
    </w:p>
  </w:endnote>
  <w:endnote w:type="continuationSeparator" w:id="0">
    <w:p w:rsidR="00293DDF" w:rsidRDefault="00293DDF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096F59">
          <w:rPr>
            <w:rFonts w:ascii="SassoonInfant" w:hAnsi="SassoonInfant"/>
            <w:noProof/>
            <w:sz w:val="24"/>
            <w:szCs w:val="24"/>
          </w:rPr>
          <w:t>3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DF" w:rsidRDefault="00293DDF" w:rsidP="008377AA">
      <w:pPr>
        <w:spacing w:after="0" w:line="240" w:lineRule="auto"/>
      </w:pPr>
      <w:r>
        <w:separator/>
      </w:r>
    </w:p>
  </w:footnote>
  <w:footnote w:type="continuationSeparator" w:id="0">
    <w:p w:rsidR="00293DDF" w:rsidRDefault="00293DDF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96F59"/>
    <w:rsid w:val="000C0323"/>
    <w:rsid w:val="00111322"/>
    <w:rsid w:val="00143CBA"/>
    <w:rsid w:val="00161425"/>
    <w:rsid w:val="00196B8A"/>
    <w:rsid w:val="001B46D6"/>
    <w:rsid w:val="00221291"/>
    <w:rsid w:val="00292879"/>
    <w:rsid w:val="00293DDF"/>
    <w:rsid w:val="002B686F"/>
    <w:rsid w:val="0030233D"/>
    <w:rsid w:val="00306EC9"/>
    <w:rsid w:val="003706E1"/>
    <w:rsid w:val="00466864"/>
    <w:rsid w:val="0046705B"/>
    <w:rsid w:val="0048013A"/>
    <w:rsid w:val="005163AA"/>
    <w:rsid w:val="00530165"/>
    <w:rsid w:val="00575D21"/>
    <w:rsid w:val="006232DD"/>
    <w:rsid w:val="00641BDE"/>
    <w:rsid w:val="00645A87"/>
    <w:rsid w:val="00663174"/>
    <w:rsid w:val="006C76DA"/>
    <w:rsid w:val="007315B4"/>
    <w:rsid w:val="007B6D40"/>
    <w:rsid w:val="00820BB8"/>
    <w:rsid w:val="00824EC0"/>
    <w:rsid w:val="008377AA"/>
    <w:rsid w:val="008749FB"/>
    <w:rsid w:val="008E740A"/>
    <w:rsid w:val="00901DDE"/>
    <w:rsid w:val="00907140"/>
    <w:rsid w:val="00977B58"/>
    <w:rsid w:val="00A30A59"/>
    <w:rsid w:val="00A37A80"/>
    <w:rsid w:val="00AD2569"/>
    <w:rsid w:val="00B22B38"/>
    <w:rsid w:val="00B232A2"/>
    <w:rsid w:val="00B85F17"/>
    <w:rsid w:val="00BC5332"/>
    <w:rsid w:val="00BF0341"/>
    <w:rsid w:val="00C0701B"/>
    <w:rsid w:val="00C34DD1"/>
    <w:rsid w:val="00C50B72"/>
    <w:rsid w:val="00C67E49"/>
    <w:rsid w:val="00C81C85"/>
    <w:rsid w:val="00CC68B5"/>
    <w:rsid w:val="00D159E6"/>
    <w:rsid w:val="00D3774F"/>
    <w:rsid w:val="00D4676B"/>
    <w:rsid w:val="00DB358C"/>
    <w:rsid w:val="00DC3A61"/>
    <w:rsid w:val="00DC71B3"/>
    <w:rsid w:val="00E3076F"/>
    <w:rsid w:val="00E45752"/>
    <w:rsid w:val="00EE02E8"/>
    <w:rsid w:val="00F12D17"/>
    <w:rsid w:val="00F8260C"/>
    <w:rsid w:val="00F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0CD1C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9</cp:revision>
  <dcterms:created xsi:type="dcterms:W3CDTF">2020-03-26T17:03:00Z</dcterms:created>
  <dcterms:modified xsi:type="dcterms:W3CDTF">2020-03-29T10:54:00Z</dcterms:modified>
</cp:coreProperties>
</file>